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8.11 -->
  <w:body>
    <w:p>
      <w:pPr>
        <w:spacing w:line="480" w:lineRule="auto"/>
        <w:rPr>
          <w:rFonts w:ascii="Times New Roman" w:hAnsi="Times New Roman" w:cs="Times New Roman"/>
          <w:sz w:val="24"/>
          <w:szCs w:val="24"/>
        </w:rPr>
      </w:pPr>
      <w:r>
        <w:rPr>
          <w:rFonts w:ascii="Times New Roman" w:hAnsi="Times New Roman" w:cs="Times New Roman"/>
          <w:sz w:val="24"/>
          <w:szCs w:val="24"/>
        </w:rPr>
        <w:t>Hannah Roman</w:t>
      </w:r>
    </w:p>
    <w:p>
      <w:pPr>
        <w:spacing w:line="480" w:lineRule="auto"/>
        <w:rPr>
          <w:rFonts w:ascii="Times New Roman" w:hAnsi="Times New Roman" w:cs="Times New Roman"/>
          <w:sz w:val="24"/>
          <w:szCs w:val="24"/>
        </w:rPr>
      </w:pPr>
      <w:r>
        <w:rPr>
          <w:rFonts w:ascii="Times New Roman" w:hAnsi="Times New Roman" w:cs="Times New Roman"/>
          <w:sz w:val="24"/>
          <w:szCs w:val="24"/>
        </w:rPr>
        <w:t>Dr. Justin Vidovic</w:t>
      </w:r>
    </w:p>
    <w:p>
      <w:pPr>
        <w:spacing w:line="480" w:lineRule="auto"/>
        <w:rPr>
          <w:rFonts w:ascii="Times New Roman" w:hAnsi="Times New Roman" w:cs="Times New Roman"/>
          <w:sz w:val="24"/>
          <w:szCs w:val="24"/>
        </w:rPr>
      </w:pPr>
      <w:r>
        <w:rPr>
          <w:rFonts w:ascii="Times New Roman" w:hAnsi="Times New Roman" w:cs="Times New Roman"/>
          <w:sz w:val="24"/>
          <w:szCs w:val="24"/>
        </w:rPr>
        <w:t>English 102</w:t>
      </w:r>
    </w:p>
    <w:p>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September 26, 2018. </w:t>
      </w:r>
    </w:p>
    <w:p>
      <w:pPr>
        <w:spacing w:line="480" w:lineRule="auto"/>
        <w:rPr>
          <w:rFonts w:ascii="Times New Roman" w:hAnsi="Times New Roman" w:cs="Times New Roman"/>
          <w:sz w:val="24"/>
          <w:szCs w:val="24"/>
          <w:lang w:val="en-US"/>
        </w:rPr>
      </w:pPr>
    </w:p>
    <w:p>
      <w:pPr>
        <w:spacing w:line="480" w:lineRule="auto"/>
        <w:jc w:val="center"/>
        <w:rPr>
          <w:rFonts w:ascii="Times New Roman" w:hAnsi="Times New Roman" w:cs="Times New Roman" w:hint="default"/>
          <w:sz w:val="24"/>
          <w:szCs w:val="24"/>
          <w:lang w:val="en-US"/>
        </w:rPr>
      </w:pPr>
      <w:bookmarkStart w:id="0" w:name="_GoBack"/>
      <w:bookmarkEnd w:id="0"/>
      <w:r>
        <w:rPr>
          <w:rFonts w:ascii="Times New Roman" w:hAnsi="Times New Roman" w:cs="Times New Roman" w:hint="default"/>
          <w:sz w:val="24"/>
          <w:szCs w:val="24"/>
          <w:lang w:val="en-US"/>
        </w:rPr>
        <w:t>‘Banking Education Model’ in the United States.</w:t>
      </w:r>
    </w:p>
    <w:p>
      <w:pPr>
        <w:spacing w:line="480" w:lineRule="auto"/>
        <w:ind w:firstLine="420" w:firstLineChars="0"/>
        <w:rPr>
          <w:rFonts w:ascii="Times New Roman" w:hAnsi="Times New Roman" w:cs="Times New Roman" w:hint="default"/>
          <w:sz w:val="24"/>
          <w:szCs w:val="24"/>
          <w:lang w:val="en-US"/>
        </w:rPr>
      </w:pPr>
      <w:r>
        <w:rPr>
          <w:rFonts w:ascii="Times New Roman" w:hAnsi="Times New Roman" w:cs="Times New Roman" w:hint="default"/>
          <w:sz w:val="24"/>
          <w:szCs w:val="24"/>
          <w:lang w:val="en-US"/>
        </w:rPr>
        <w:t xml:space="preserve">Pedagogy of the oppressed is a seminal work in critical pedagogy. Written by Brazilian Educationist and Philosopher Paulo Freire in 1968, the book largely focuses on the relationship between learners, educators an the society. Pedagogy of the oppressed the concept </w:t>
      </w:r>
      <w:r>
        <w:rPr>
          <w:rFonts w:ascii="Times New Roman" w:hAnsi="Times New Roman" w:cs="Times New Roman" w:hint="default"/>
          <w:sz w:val="24"/>
          <w:szCs w:val="24"/>
          <w:lang w:val="en-US"/>
        </w:rPr>
        <w:t>‘banking model of education’ which treats students as containers to be filled with knowledge from the educator/teacher. This paper attempts to evaluate the ‘banking model of education’ with attempts to identify its similarities in the context of the American education model, (Freire, 2006).</w:t>
      </w:r>
    </w:p>
    <w:p>
      <w:pPr>
        <w:spacing w:line="480" w:lineRule="auto"/>
        <w:ind w:firstLine="420" w:firstLineChars="0"/>
        <w:rPr>
          <w:rFonts w:ascii="Times New Roman" w:hAnsi="Times New Roman" w:cs="Times New Roman" w:hint="default"/>
          <w:sz w:val="24"/>
          <w:szCs w:val="24"/>
          <w:lang w:val="en-US"/>
        </w:rPr>
      </w:pPr>
      <w:r>
        <w:rPr>
          <w:rFonts w:ascii="Times New Roman" w:hAnsi="Times New Roman" w:cs="Times New Roman" w:hint="default"/>
          <w:sz w:val="24"/>
          <w:szCs w:val="24"/>
          <w:lang w:val="en-US"/>
        </w:rPr>
        <w:t>C</w:t>
      </w:r>
      <w:r>
        <w:rPr>
          <w:rFonts w:ascii="Times New Roman" w:hAnsi="Times New Roman" w:cs="Times New Roman" w:hint="default"/>
          <w:sz w:val="24"/>
          <w:szCs w:val="24"/>
        </w:rPr>
        <w:t xml:space="preserve">hapter </w:t>
      </w:r>
      <w:r>
        <w:rPr>
          <w:rFonts w:ascii="Times New Roman" w:hAnsi="Times New Roman" w:cs="Times New Roman" w:hint="default"/>
          <w:sz w:val="24"/>
          <w:szCs w:val="24"/>
          <w:lang w:val="en-US"/>
        </w:rPr>
        <w:t xml:space="preserve">two </w:t>
      </w:r>
      <w:r>
        <w:rPr>
          <w:rFonts w:ascii="Times New Roman" w:hAnsi="Times New Roman" w:cs="Times New Roman" w:hint="default"/>
          <w:sz w:val="24"/>
          <w:szCs w:val="24"/>
        </w:rPr>
        <w:t xml:space="preserve">of </w:t>
      </w:r>
      <w:r>
        <w:rPr>
          <w:rFonts w:ascii="Times New Roman" w:hAnsi="Times New Roman" w:cs="Times New Roman" w:hint="default"/>
          <w:i/>
          <w:sz w:val="24"/>
          <w:szCs w:val="24"/>
        </w:rPr>
        <w:t>Pedagogy of the Oppressed</w:t>
      </w:r>
      <w:r>
        <w:rPr>
          <w:rFonts w:ascii="Times New Roman" w:hAnsi="Times New Roman" w:cs="Times New Roman" w:hint="default"/>
          <w:sz w:val="24"/>
          <w:szCs w:val="24"/>
        </w:rPr>
        <w:t xml:space="preserve">, equates the teacher-student relationship to a "banking" model of education. </w:t>
      </w:r>
      <w:r>
        <w:rPr>
          <w:rFonts w:ascii="Times New Roman" w:hAnsi="Times New Roman" w:cs="Times New Roman" w:hint="default"/>
          <w:sz w:val="24"/>
          <w:szCs w:val="24"/>
          <w:lang w:val="en-US"/>
        </w:rPr>
        <w:t>Freire</w:t>
      </w:r>
      <w:r>
        <w:rPr>
          <w:rFonts w:ascii="Times New Roman" w:hAnsi="Times New Roman" w:cs="Times New Roman" w:hint="default"/>
          <w:sz w:val="24"/>
          <w:szCs w:val="24"/>
        </w:rPr>
        <w:t xml:space="preserve"> describes the entire education system as a narration process. The teacher is portrayed as the ‘narrator' and the student as the ‘listener'. The two are fundamentally disconnected from each in the real world.  The teacher deposits pieces of information to the students' minds. The students, on the other hand, are expected to memorize chunks of knowledge without questioning their qualitative aspect. 
</w:t>
      </w:r>
    </w:p>
    <w:p>
      <w:pPr>
        <w:spacing w:line="480" w:lineRule="auto"/>
        <w:ind w:firstLine="420" w:firstLineChars="0"/>
        <w:rPr>
          <w:rFonts w:ascii="Times New Roman" w:hAnsi="Times New Roman" w:cs="Times New Roman" w:hint="default"/>
          <w:sz w:val="24"/>
          <w:szCs w:val="24"/>
        </w:rPr>
      </w:pPr>
      <w:r>
        <w:rPr>
          <w:rFonts w:ascii="Times New Roman" w:hAnsi="Times New Roman" w:cs="Times New Roman" w:hint="default"/>
          <w:sz w:val="24"/>
          <w:szCs w:val="24"/>
          <w:lang w:val="en-US"/>
        </w:rPr>
        <w:t xml:space="preserve">Freire criticizes the relationship between a teacher as </w:t>
      </w:r>
      <w:r>
        <w:rPr>
          <w:rFonts w:ascii="Times New Roman" w:hAnsi="Times New Roman" w:cs="Times New Roman" w:hint="default"/>
          <w:sz w:val="24"/>
          <w:szCs w:val="24"/>
          <w:lang w:val="en-US"/>
        </w:rPr>
        <w:t xml:space="preserve">‘a dispenser' of knowledge </w:t>
      </w:r>
      <w:r>
        <w:rPr>
          <w:rFonts w:ascii="Times New Roman" w:hAnsi="Times New Roman" w:cs="Times New Roman" w:hint="default"/>
          <w:sz w:val="24"/>
          <w:szCs w:val="24"/>
          <w:lang w:val="en-US"/>
        </w:rPr>
        <w:t xml:space="preserve">and the student as </w:t>
      </w:r>
      <w:r>
        <w:rPr>
          <w:rFonts w:ascii="Times New Roman" w:hAnsi="Times New Roman" w:cs="Times New Roman" w:hint="default"/>
          <w:sz w:val="24"/>
          <w:szCs w:val="24"/>
          <w:lang w:val="en-US"/>
        </w:rPr>
        <w:t>‘</w:t>
      </w:r>
      <w:r>
        <w:rPr>
          <w:rFonts w:ascii="Times New Roman" w:hAnsi="Times New Roman" w:cs="Times New Roman" w:hint="default"/>
          <w:sz w:val="24"/>
          <w:szCs w:val="24"/>
          <w:lang w:val="en-US"/>
        </w:rPr>
        <w:t>a receptor</w:t>
      </w:r>
      <w:r>
        <w:rPr>
          <w:rFonts w:ascii="Times New Roman" w:hAnsi="Times New Roman" w:cs="Times New Roman" w:hint="default"/>
          <w:sz w:val="24"/>
          <w:szCs w:val="24"/>
          <w:lang w:val="en-US"/>
        </w:rPr>
        <w:t>'. He argues that this model stifles creativity.</w:t>
      </w:r>
      <w:r>
        <w:rPr>
          <w:rFonts w:ascii="Times New Roman" w:hAnsi="Times New Roman" w:cs="Times New Roman" w:hint="default"/>
          <w:sz w:val="24"/>
          <w:szCs w:val="24"/>
          <w:lang w:val="en-US"/>
        </w:rPr>
        <w:t xml:space="preserve"> </w:t>
      </w:r>
      <w:r>
        <w:rPr>
          <w:rFonts w:ascii="Times New Roman" w:hAnsi="Times New Roman" w:cs="Times New Roman" w:hint="default"/>
          <w:sz w:val="24"/>
          <w:szCs w:val="24"/>
        </w:rPr>
        <w:t xml:space="preserve">The teacher is detached from the students' life experiences and the dynamism of reality are not taken into account.  The teacher empties the contents of unrealistic information into the student's brain. </w:t>
      </w:r>
      <w:r>
        <w:rPr>
          <w:rFonts w:ascii="Times New Roman" w:hAnsi="Times New Roman" w:cs="Times New Roman" w:hint="default"/>
          <w:sz w:val="24"/>
          <w:szCs w:val="24"/>
          <w:lang w:val="en-US"/>
        </w:rPr>
        <w:t xml:space="preserve">According to Freire, the </w:t>
      </w:r>
      <w:r>
        <w:rPr>
          <w:rFonts w:ascii="Times New Roman" w:hAnsi="Times New Roman" w:cs="Times New Roman" w:hint="default"/>
          <w:sz w:val="24"/>
          <w:szCs w:val="24"/>
        </w:rPr>
        <w:t>banking model of education does not encourage students to constantly ask questions, therefore, making the whole process obsolete. 
</w:t>
      </w:r>
    </w:p>
    <w:p>
      <w:pPr>
        <w:spacing w:line="480" w:lineRule="auto"/>
        <w:ind w:firstLine="420" w:firstLineChars="0"/>
        <w:rPr>
          <w:rFonts w:ascii="Times New Roman" w:hAnsi="Times New Roman" w:cs="Times New Roman" w:hint="default"/>
          <w:sz w:val="24"/>
          <w:szCs w:val="24"/>
        </w:rPr>
      </w:pPr>
      <w:r>
        <w:rPr>
          <w:rFonts w:ascii="Times New Roman" w:hAnsi="Times New Roman" w:cs="Times New Roman" w:hint="default"/>
          <w:sz w:val="24"/>
          <w:szCs w:val="24"/>
          <w:lang w:val="en-US"/>
        </w:rPr>
        <w:t xml:space="preserve">Freire opines that a </w:t>
      </w:r>
      <w:r>
        <w:rPr>
          <w:rFonts w:ascii="Times New Roman" w:hAnsi="Times New Roman" w:cs="Times New Roman" w:hint="default"/>
          <w:sz w:val="24"/>
          <w:szCs w:val="24"/>
          <w:lang w:val="en-US"/>
        </w:rPr>
        <w:t xml:space="preserve">‘banking model of education' is characterized by harshness and oppression whereby the teacher is placed at the echelon of knowledge dissemination. </w:t>
      </w:r>
      <w:r>
        <w:rPr>
          <w:rFonts w:ascii="Times New Roman" w:hAnsi="Times New Roman" w:cs="Times New Roman" w:hint="default"/>
          <w:sz w:val="24"/>
          <w:szCs w:val="24"/>
        </w:rPr>
        <w:t xml:space="preserve"> The ailment in the education system is facilitated by the notion that the teacher is an authoritative figure and holds absolute power </w:t>
      </w:r>
      <w:r>
        <w:rPr>
          <w:rFonts w:ascii="Times New Roman" w:hAnsi="Times New Roman" w:cs="Times New Roman" w:hint="default"/>
          <w:sz w:val="24"/>
          <w:szCs w:val="24"/>
          <w:lang w:val="en-US"/>
        </w:rPr>
        <w:t>over</w:t>
      </w:r>
      <w:r>
        <w:rPr>
          <w:rFonts w:ascii="Times New Roman" w:hAnsi="Times New Roman" w:cs="Times New Roman" w:hint="default"/>
          <w:sz w:val="24"/>
          <w:szCs w:val="24"/>
        </w:rPr>
        <w:t xml:space="preserve"> the learning process. </w:t>
      </w:r>
      <w:r>
        <w:rPr>
          <w:rFonts w:ascii="Times New Roman" w:hAnsi="Times New Roman" w:cs="Times New Roman" w:hint="default"/>
          <w:sz w:val="24"/>
          <w:szCs w:val="24"/>
          <w:lang w:val="en-US"/>
        </w:rPr>
        <w:t>S</w:t>
      </w:r>
      <w:r>
        <w:rPr>
          <w:rFonts w:ascii="Times New Roman" w:hAnsi="Times New Roman" w:cs="Times New Roman" w:hint="default"/>
          <w:sz w:val="24"/>
          <w:szCs w:val="24"/>
        </w:rPr>
        <w:t>tudents are portrayed as subjects. The student is expected to record without realizing its significance. The educational approach is oppressive and affirms his pedagogy which advocates for reforms in order to cure the contradictory relationship.</w:t>
      </w:r>
    </w:p>
    <w:p>
      <w:pPr>
        <w:spacing w:line="480" w:lineRule="auto"/>
        <w:ind w:firstLine="420" w:firstLineChars="0"/>
        <w:rPr>
          <w:rFonts w:ascii="Times New Roman" w:hAnsi="Times New Roman" w:cs="Times New Roman" w:hint="default"/>
          <w:sz w:val="24"/>
          <w:szCs w:val="24"/>
          <w:lang w:val="en-US"/>
        </w:rPr>
      </w:pPr>
      <w:r>
        <w:rPr>
          <w:rFonts w:ascii="Times New Roman" w:hAnsi="Times New Roman" w:cs="Times New Roman" w:hint="default"/>
          <w:sz w:val="24"/>
          <w:szCs w:val="24"/>
          <w:lang w:val="en-US"/>
        </w:rPr>
        <w:t>Currently, in the US, over 75% of learning both in the K-12 and institutions of higher-learning occur in the form of teacher-centered lectures. Lecturing is preferred by most institution courtesy of its convenience, cost-, and practicability for large student bodies. This model of teaching allows teachers/professors to convey information that they think is most appropriate for the lesson. The students largely pay a passive role in examining and evaluating the information, (</w:t>
      </w:r>
      <w:r>
        <w:rPr>
          <w:rFonts w:ascii="Times New Roman" w:hAnsi="Times New Roman" w:cs="Times New Roman" w:hint="default"/>
        </w:rPr>
        <w:t>Gottesman</w:t>
      </w:r>
      <w:r>
        <w:rPr>
          <w:rFonts w:ascii="Times New Roman" w:hAnsi="Times New Roman" w:cs="Times New Roman" w:hint="default"/>
          <w:lang w:val="en-US"/>
        </w:rPr>
        <w:t>, 2010)</w:t>
      </w:r>
    </w:p>
    <w:p>
      <w:pPr>
        <w:spacing w:line="480" w:lineRule="auto"/>
        <w:ind w:firstLine="720"/>
        <w:rPr>
          <w:rFonts w:ascii="Times New Roman" w:hAnsi="Times New Roman" w:cs="Times New Roman" w:hint="default"/>
          <w:sz w:val="24"/>
          <w:szCs w:val="24"/>
        </w:rPr>
      </w:pPr>
      <w:r>
        <w:rPr>
          <w:rFonts w:ascii="Times New Roman" w:hAnsi="Times New Roman" w:cs="Times New Roman" w:hint="default"/>
          <w:sz w:val="24"/>
          <w:szCs w:val="24"/>
          <w:lang w:val="en-US"/>
        </w:rPr>
        <w:t xml:space="preserve">Freire further describes a </w:t>
      </w:r>
      <w:r>
        <w:rPr>
          <w:rFonts w:ascii="Times New Roman" w:hAnsi="Times New Roman" w:cs="Times New Roman" w:hint="default"/>
          <w:sz w:val="24"/>
          <w:szCs w:val="24"/>
          <w:lang w:val="en-US"/>
        </w:rPr>
        <w:t xml:space="preserve">‘banking model of education’ as whereby </w:t>
      </w:r>
      <w:r>
        <w:rPr>
          <w:rFonts w:ascii="Times New Roman" w:hAnsi="Times New Roman" w:cs="Times New Roman" w:hint="default"/>
          <w:sz w:val="24"/>
          <w:szCs w:val="24"/>
        </w:rPr>
        <w:t xml:space="preserve">subjects are content to be filled, memorizing the content, and repeating the process on a daily basis. The teacher is metaphorically seen as an illusion that needs to be emulated at all cost. </w:t>
      </w:r>
      <w:r>
        <w:rPr>
          <w:rFonts w:ascii="Times New Roman" w:hAnsi="Times New Roman" w:cs="Times New Roman" w:hint="default"/>
          <w:sz w:val="24"/>
          <w:szCs w:val="24"/>
          <w:lang w:val="en-US"/>
        </w:rPr>
        <w:t>S</w:t>
      </w:r>
      <w:r>
        <w:rPr>
          <w:rFonts w:ascii="Times New Roman" w:hAnsi="Times New Roman" w:cs="Times New Roman" w:hint="default"/>
          <w:sz w:val="24"/>
          <w:szCs w:val="24"/>
        </w:rPr>
        <w:t>tudents receive catalogs of knowledge and store them for future examinations.</w:t>
      </w:r>
      <w:r>
        <w:rPr>
          <w:rFonts w:ascii="Times New Roman" w:hAnsi="Times New Roman" w:cs="Times New Roman" w:hint="default"/>
          <w:sz w:val="24"/>
          <w:szCs w:val="24"/>
          <w:lang w:val="en-US"/>
        </w:rPr>
        <w:t xml:space="preserve"> </w:t>
      </w:r>
      <w:r>
        <w:rPr>
          <w:rFonts w:ascii="Times New Roman" w:hAnsi="Times New Roman" w:cs="Times New Roman" w:hint="default"/>
          <w:sz w:val="24"/>
          <w:szCs w:val="24"/>
        </w:rPr>
        <w:t>The teacher is depicted as intellectually superior individuals who need to impart knowledge to the students who know nothing.  The raison d'etre approach to libertarian education advocates for the reconciliation of the contradictory student-teacher relationship. The teacher is seen to make choices for the students and enforce knowledge to them and the society expects them to comply with the traditional methods</w:t>
      </w:r>
      <w:r>
        <w:rPr>
          <w:rFonts w:ascii="Times New Roman" w:hAnsi="Times New Roman" w:cs="Times New Roman" w:hint="default"/>
          <w:sz w:val="24"/>
          <w:szCs w:val="24"/>
          <w:lang w:val="en-US"/>
        </w:rPr>
        <w:t>,  (Freire, 2006)</w:t>
      </w:r>
      <w:r>
        <w:rPr>
          <w:rFonts w:ascii="Times New Roman" w:hAnsi="Times New Roman" w:cs="Times New Roman" w:hint="default"/>
          <w:sz w:val="24"/>
          <w:szCs w:val="24"/>
        </w:rPr>
        <w:t>.</w:t>
      </w:r>
    </w:p>
    <w:p>
      <w:pPr>
        <w:spacing w:line="480" w:lineRule="auto"/>
        <w:ind w:firstLine="720"/>
        <w:rPr>
          <w:rFonts w:ascii="Times New Roman" w:hAnsi="Times New Roman" w:cs="Times New Roman" w:hint="default"/>
          <w:sz w:val="24"/>
          <w:szCs w:val="24"/>
        </w:rPr>
      </w:pPr>
      <w:r>
        <w:rPr>
          <w:rFonts w:ascii="Times New Roman" w:hAnsi="Times New Roman" w:cs="Times New Roman" w:hint="default"/>
          <w:sz w:val="24"/>
          <w:szCs w:val="24"/>
        </w:rPr>
        <w:t>The banking model does not necessitate actions but requires that the subjects conform to the living conditions. Students are mere observers and it is worrying that the teachers even try to control how the subjects observe the world. The teachers' superiority has been corrupted by their authority of knowledge. The methods they use alienate the students from their teachers since the more they perceive this model to be acceptable, the more they adapt to play the passive role to their teachers. The oppressors are likely comfortable with their positions of power and are constantly opposed to initiatives that will enhance the subjects' creative excellence. 
</w:t>
      </w:r>
    </w:p>
    <w:p>
      <w:pPr>
        <w:spacing w:line="480" w:lineRule="auto"/>
        <w:ind w:firstLine="720"/>
        <w:rPr>
          <w:rFonts w:ascii="Times New Roman" w:hAnsi="Times New Roman" w:cs="Times New Roman" w:hint="default"/>
          <w:sz w:val="24"/>
          <w:szCs w:val="24"/>
        </w:rPr>
      </w:pPr>
      <w:r>
        <w:rPr>
          <w:rFonts w:ascii="Times New Roman" w:hAnsi="Times New Roman" w:cs="Times New Roman" w:hint="default"/>
          <w:sz w:val="24"/>
          <w:szCs w:val="24"/>
        </w:rPr>
        <w:t>The forces of the banking concept and societal paternalism are seen to gang up against the students who are subjected to marginalization. The students are treated as welfare recipients who should align to a particular social configuration. They are regarded as pathologically inferior and the knobs of laziness and incompetence must be adjusted to fit into the conventional patterns. The striking feature of this model is that the marginalized students are not living outside of the society but are inside the societal structure</w:t>
      </w:r>
      <w:r>
        <w:rPr>
          <w:rFonts w:ascii="Times New Roman" w:hAnsi="Times New Roman" w:cs="Times New Roman" w:hint="default"/>
          <w:sz w:val="24"/>
          <w:szCs w:val="24"/>
          <w:lang w:val="en-US"/>
        </w:rPr>
        <w:t>, (</w:t>
      </w:r>
      <w:r>
        <w:rPr>
          <w:rFonts w:ascii="Times New Roman" w:hAnsi="Times New Roman" w:cs="Times New Roman" w:hint="default"/>
        </w:rPr>
        <w:t>Gottesman</w:t>
      </w:r>
      <w:r>
        <w:rPr>
          <w:rFonts w:ascii="Times New Roman" w:hAnsi="Times New Roman" w:cs="Times New Roman" w:hint="default"/>
          <w:lang w:val="en-US"/>
        </w:rPr>
        <w:t>, 2010)</w:t>
      </w:r>
      <w:r>
        <w:rPr>
          <w:rFonts w:ascii="Times New Roman" w:hAnsi="Times New Roman" w:cs="Times New Roman" w:hint="default"/>
          <w:sz w:val="24"/>
          <w:szCs w:val="24"/>
        </w:rPr>
        <w:t xml:space="preserve">. </w:t>
      </w:r>
    </w:p>
    <w:p>
      <w:pPr>
        <w:spacing w:line="480" w:lineRule="auto"/>
        <w:ind w:firstLine="720"/>
        <w:rPr>
          <w:rFonts w:ascii="Times New Roman" w:hAnsi="Times New Roman" w:cs="Times New Roman" w:hint="default"/>
          <w:sz w:val="24"/>
          <w:szCs w:val="24"/>
          <w:lang w:val="en-US"/>
        </w:rPr>
      </w:pPr>
      <w:r>
        <w:rPr>
          <w:rFonts w:ascii="Times New Roman" w:hAnsi="Times New Roman" w:cs="Times New Roman" w:hint="default"/>
          <w:sz w:val="24"/>
          <w:szCs w:val="24"/>
          <w:lang w:val="en-US"/>
        </w:rPr>
        <w:t>Most of the content and subjects taught in the United States Curriculum today is set or derived from the common core. Simply, the common core represents an attempt to standardize instructions and assessments. Different states also have enacted various standards that may be applied to deciding what should be taught in particular grades and levels. Institutions have also been mandated individual authority to determine the scope of subjects and inclinations, (Roberts, 1996). 
</w:t>
      </w:r>
    </w:p>
    <w:p>
      <w:pPr>
        <w:spacing w:line="480" w:lineRule="auto"/>
        <w:ind w:firstLine="720"/>
        <w:rPr>
          <w:rFonts w:ascii="Times New Roman" w:hAnsi="Times New Roman" w:cs="Times New Roman" w:hint="default"/>
          <w:sz w:val="24"/>
          <w:szCs w:val="24"/>
          <w:lang w:val="en-US"/>
        </w:rPr>
      </w:pPr>
      <w:r>
        <w:rPr>
          <w:rFonts w:ascii="Times New Roman" w:hAnsi="Times New Roman" w:cs="Times New Roman" w:hint="default"/>
          <w:sz w:val="24"/>
          <w:szCs w:val="24"/>
          <w:lang w:val="en-US"/>
        </w:rPr>
        <w:t>Despite, these variations the curriculum for the American Education system is largely based on some of the socially acceptable norms and procedures, (Roberts, 1996). Simply, a group of people decides what should be taught to learners or not. This model helps to clearly accentuate the banking model in American education, whereby learners are educated as to what they should learn. 
</w:t>
      </w:r>
    </w:p>
    <w:p>
      <w:pPr>
        <w:spacing w:line="480" w:lineRule="auto"/>
        <w:ind w:firstLine="720"/>
        <w:rPr>
          <w:rFonts w:ascii="Times New Roman" w:hAnsi="Times New Roman" w:cs="Times New Roman" w:hint="default"/>
          <w:sz w:val="24"/>
          <w:szCs w:val="24"/>
          <w:lang w:val="en-US"/>
        </w:rPr>
      </w:pPr>
      <w:r>
        <w:rPr>
          <w:rFonts w:ascii="Times New Roman" w:hAnsi="Times New Roman" w:cs="Times New Roman" w:hint="default"/>
          <w:sz w:val="24"/>
          <w:szCs w:val="24"/>
          <w:lang w:val="en-US"/>
        </w:rPr>
        <w:t>Overall the American Education System is characterized by increased tendencies to guide and director learners as knowledge receptors and collectors. Overreliance on teachers to disseminate knowledge and socially accepted curriculums are some of the fundamental features of ‘banking education' that are predominant in the American system. This schism has developed to an extent students are unable to realize their true consciousness. Perhaps, some of the criticism towards the American education system as Factory model is stemmed from a preservation of the banking model.
</w:t>
      </w:r>
    </w:p>
    <w:p>
      <w:pPr>
        <w:spacing w:line="480" w:lineRule="auto"/>
        <w:ind w:firstLine="720"/>
        <w:rPr>
          <w:rFonts w:ascii="Times New Roman" w:hAnsi="Times New Roman" w:cs="Times New Roman"/>
          <w:sz w:val="24"/>
          <w:szCs w:val="24"/>
          <w:lang w:val="en-US"/>
        </w:rPr>
      </w:pPr>
      <w:r>
        <w:rPr>
          <w:rFonts w:ascii="Times New Roman" w:hAnsi="Times New Roman" w:cs="Times New Roman" w:hint="default"/>
          <w:sz w:val="24"/>
          <w:szCs w:val="24"/>
          <w:lang w:val="en-US"/>
        </w:rPr>
        <w:t>Over and above, the American Education system must move to embrace an alternative pedagogy that eliminates the aforementioned instance of banking model. There is a need to f</w:t>
      </w:r>
      <w:r>
        <w:rPr>
          <w:rFonts w:ascii="Times New Roman" w:hAnsi="Times New Roman" w:cs="Times New Roman"/>
          <w:sz w:val="24"/>
          <w:szCs w:val="24"/>
        </w:rPr>
        <w:t>orge partnerships and realize the profound necessity for critical thinking</w:t>
      </w:r>
      <w:r>
        <w:rPr>
          <w:rFonts w:ascii="Times New Roman" w:hAnsi="Times New Roman" w:cs="Times New Roman"/>
          <w:sz w:val="24"/>
          <w:szCs w:val="24"/>
          <w:lang w:val="en-US"/>
        </w:rPr>
        <w:t xml:space="preserve"> and </w:t>
      </w:r>
      <w:r>
        <w:rPr>
          <w:rFonts w:ascii="Times New Roman" w:hAnsi="Times New Roman" w:cs="Times New Roman"/>
          <w:sz w:val="24"/>
          <w:szCs w:val="24"/>
        </w:rPr>
        <w:t>creates effective communication that enables dialogue required for educational freedom.</w:t>
      </w:r>
      <w:r>
        <w:rPr>
          <w:rFonts w:ascii="Times New Roman" w:hAnsi="Times New Roman" w:cs="Times New Roman"/>
          <w:sz w:val="24"/>
          <w:szCs w:val="24"/>
          <w:lang w:val="en-US"/>
        </w:rPr>
        <w:t xml:space="preserve"> Students should not be seen as exclusive knowledge receptors but also effective knowledge generators. This will not only enhance their awareness about themselves and their environments but also better prepare them for the uncertain future.
</w:t>
      </w:r>
    </w:p>
    <w:p>
      <w:pPr>
        <w:spacing w:line="480" w:lineRule="auto"/>
        <w:ind w:firstLine="720"/>
        <w:rPr>
          <w:rFonts w:ascii="Times New Roman" w:hAnsi="Times New Roman" w:cs="Times New Roman" w:hint="default"/>
          <w:sz w:val="24"/>
          <w:szCs w:val="24"/>
          <w:lang w:val="en-US"/>
        </w:rPr>
        <w:sectPr>
          <w:headerReference w:type="default" r:id="rId5"/>
          <w:pgSz w:w="11906" w:h="16838"/>
          <w:pgMar w:top="1440" w:right="1800" w:bottom="1440" w:left="1800" w:header="720" w:footer="720" w:gutter="0"/>
          <w:pgNumType w:fmt="decimal"/>
          <w:cols w:num="1" w:space="720"/>
          <w:docGrid w:linePitch="360" w:charSpace="0"/>
        </w:sectPr>
      </w:pPr>
    </w:p>
    <w:p>
      <w:pPr>
        <w:spacing w:line="480" w:lineRule="auto"/>
        <w:ind w:firstLine="720"/>
        <w:rPr>
          <w:rFonts w:ascii="Times New Roman" w:hAnsi="Times New Roman" w:cs="Times New Roman" w:hint="default"/>
          <w:sz w:val="24"/>
          <w:szCs w:val="24"/>
          <w:lang w:val="en-US"/>
        </w:rPr>
      </w:pPr>
      <w:r>
        <w:rPr>
          <w:rFonts w:ascii="Times New Roman" w:hAnsi="Times New Roman" w:cs="Times New Roman" w:hint="default"/>
          <w:sz w:val="24"/>
          <w:szCs w:val="24"/>
          <w:lang w:val="en-US"/>
        </w:rPr>
        <w:t>References.</w:t>
      </w:r>
    </w:p>
    <w:p>
      <w:pPr>
        <w:spacing w:line="480" w:lineRule="auto"/>
        <w:rPr>
          <w:rFonts w:ascii="Times New Roman" w:eastAsia="SimSun" w:hAnsi="Times New Roman" w:cs="Times New Roman" w:hint="default"/>
          <w:sz w:val="24"/>
          <w:szCs w:val="24"/>
        </w:rPr>
      </w:pPr>
      <w:r>
        <w:rPr>
          <w:rFonts w:ascii="Times New Roman" w:eastAsia="SimSun" w:hAnsi="Times New Roman" w:cs="Times New Roman" w:hint="default"/>
          <w:sz w:val="24"/>
          <w:szCs w:val="24"/>
        </w:rPr>
        <w:t xml:space="preserve">Freire, Paulo. </w:t>
      </w:r>
      <w:r>
        <w:rPr>
          <w:rStyle w:val="Emphasis"/>
          <w:rFonts w:ascii="Times New Roman" w:eastAsia="SimSun" w:hAnsi="Times New Roman" w:cs="Times New Roman" w:hint="default"/>
          <w:sz w:val="24"/>
          <w:szCs w:val="24"/>
        </w:rPr>
        <w:t>Pedagogy of the Oppressed</w:t>
      </w:r>
      <w:r>
        <w:rPr>
          <w:rFonts w:ascii="Times New Roman" w:eastAsia="SimSun" w:hAnsi="Times New Roman" w:cs="Times New Roman" w:hint="default"/>
          <w:sz w:val="24"/>
          <w:szCs w:val="24"/>
        </w:rPr>
        <w:t xml:space="preserve">. New York: The Continuum International </w:t>
      </w:r>
      <w:r>
        <w:rPr>
          <w:rFonts w:ascii="Times New Roman" w:eastAsia="SimSun" w:hAnsi="Times New Roman" w:cs="Times New Roman" w:hint="default"/>
          <w:sz w:val="24"/>
          <w:szCs w:val="24"/>
          <w:lang w:val="en-US"/>
        </w:rPr>
        <w:tab/>
      </w:r>
      <w:r>
        <w:rPr>
          <w:rFonts w:ascii="Times New Roman" w:eastAsia="SimSun" w:hAnsi="Times New Roman" w:cs="Times New Roman" w:hint="default"/>
          <w:sz w:val="24"/>
          <w:szCs w:val="24"/>
        </w:rPr>
        <w:t>Publishing Group, 2006.</w:t>
      </w:r>
    </w:p>
    <w:p>
      <w:pPr>
        <w:pStyle w:val="NormalWeb"/>
        <w:keepNext w:val="0"/>
        <w:keepLines w:val="0"/>
        <w:widowControl/>
        <w:suppressLineNumbers w:val="0"/>
        <w:spacing w:line="480" w:lineRule="auto"/>
        <w:rPr>
          <w:rFonts w:ascii="Times New Roman" w:hAnsi="Times New Roman" w:cs="Times New Roman" w:hint="default"/>
          <w:lang w:val="en-US"/>
        </w:rPr>
      </w:pPr>
      <w:r>
        <w:rPr>
          <w:rFonts w:ascii="Times New Roman" w:hAnsi="Times New Roman" w:cs="Times New Roman" w:hint="default"/>
        </w:rPr>
        <w:t xml:space="preserve">Gottesman, Isaac. “Sitting in the Waiting Room: Paulo Freire and the Critical Turn in </w:t>
      </w:r>
      <w:r>
        <w:rPr>
          <w:rFonts w:ascii="Times New Roman" w:hAnsi="Times New Roman" w:cs="Times New Roman" w:hint="default"/>
          <w:lang w:val="en-US"/>
        </w:rPr>
        <w:tab/>
      </w:r>
      <w:r>
        <w:rPr>
          <w:rFonts w:ascii="Times New Roman" w:hAnsi="Times New Roman" w:cs="Times New Roman" w:hint="default"/>
        </w:rPr>
        <w:t xml:space="preserve">the Field of Education.” </w:t>
      </w:r>
      <w:r>
        <w:rPr>
          <w:rStyle w:val="Emphasis"/>
          <w:rFonts w:ascii="Times New Roman" w:hAnsi="Times New Roman" w:cs="Times New Roman" w:hint="default"/>
        </w:rPr>
        <w:t>Educational Studies</w:t>
      </w:r>
      <w:r>
        <w:rPr>
          <w:rFonts w:ascii="Times New Roman" w:hAnsi="Times New Roman" w:cs="Times New Roman" w:hint="default"/>
        </w:rPr>
        <w:t xml:space="preserve"> 46.4: 376-399. EBSCO.</w:t>
      </w:r>
      <w:r>
        <w:rPr>
          <w:rFonts w:ascii="Times New Roman" w:hAnsi="Times New Roman" w:cs="Times New Roman" w:hint="default"/>
          <w:lang w:val="en-US"/>
        </w:rPr>
        <w:t xml:space="preserve"> </w:t>
      </w:r>
      <w:r>
        <w:rPr>
          <w:rFonts w:ascii="Times New Roman" w:hAnsi="Times New Roman" w:cs="Times New Roman" w:hint="default"/>
        </w:rPr>
        <w:t>(2010)</w:t>
      </w:r>
      <w:r>
        <w:rPr>
          <w:rFonts w:ascii="Times New Roman" w:hAnsi="Times New Roman" w:cs="Times New Roman" w:hint="default"/>
          <w:lang w:val="en-US"/>
        </w:rPr>
        <w:tab/>
      </w:r>
    </w:p>
    <w:p>
      <w:pPr>
        <w:pStyle w:val="NormalWeb"/>
        <w:keepNext w:val="0"/>
        <w:keepLines w:val="0"/>
        <w:widowControl/>
        <w:suppressLineNumbers w:val="0"/>
        <w:spacing w:line="480" w:lineRule="auto"/>
        <w:rPr>
          <w:rFonts w:ascii="Times New Roman" w:hAnsi="Times New Roman" w:cs="Times New Roman" w:hint="default"/>
        </w:rPr>
      </w:pPr>
      <w:r>
        <w:rPr>
          <w:rFonts w:ascii="Times New Roman" w:hAnsi="Times New Roman" w:cs="Times New Roman" w:hint="default"/>
        </w:rPr>
        <w:t xml:space="preserve">Roberts, Peter. "Structure, direction, and rigor in liberating education." </w:t>
      </w:r>
      <w:r>
        <w:rPr>
          <w:rFonts w:ascii="Times New Roman" w:hAnsi="Times New Roman" w:cs="Times New Roman" w:hint="default"/>
          <w:lang w:val="en-US"/>
        </w:rPr>
        <w:tab/>
      </w:r>
      <w:r>
        <w:rPr>
          <w:rStyle w:val="Emphasis"/>
          <w:rFonts w:ascii="Times New Roman" w:hAnsi="Times New Roman" w:cs="Times New Roman" w:hint="default"/>
        </w:rPr>
        <w:t>Oxford Review of Education</w:t>
      </w:r>
      <w:r>
        <w:rPr>
          <w:rFonts w:ascii="Times New Roman" w:hAnsi="Times New Roman" w:cs="Times New Roman" w:hint="default"/>
        </w:rPr>
        <w:t xml:space="preserve"> 22.3: 295-316. EBSCO. (1996)
</w:t>
      </w:r>
    </w:p>
    <w:p>
      <w:pPr>
        <w:spacing w:line="240" w:lineRule="auto"/>
        <w:rPr>
          <w:rFonts w:ascii="Times New Roman" w:eastAsia="SimSun" w:hAnsi="Times New Roman" w:cs="Times New Roman" w:hint="default"/>
          <w:sz w:val="24"/>
          <w:szCs w:val="24"/>
          <w:lang w:val="en-US"/>
        </w:rPr>
      </w:pPr>
    </w:p>
    <w:p>
      <w:pPr>
        <w:spacing w:line="480" w:lineRule="auto"/>
        <w:ind w:firstLine="720"/>
        <w:rPr>
          <w:rFonts w:ascii="Times New Roman" w:hAnsi="Times New Roman" w:cs="Times New Roman" w:hint="default"/>
          <w:sz w:val="24"/>
          <w:szCs w:val="24"/>
        </w:rPr>
      </w:pPr>
    </w:p>
    <w:p>
      <w:pPr>
        <w:spacing w:line="480" w:lineRule="auto"/>
        <w:ind w:firstLine="420" w:firstLineChars="0"/>
        <w:rPr>
          <w:rFonts w:ascii="Times New Roman" w:hAnsi="Times New Roman" w:cs="Times New Roman" w:hint="default"/>
          <w:sz w:val="24"/>
          <w:szCs w:val="24"/>
          <w:lang w:val="en-US"/>
        </w:rPr>
      </w:pPr>
    </w:p>
    <w:p>
      <w:pPr>
        <w:spacing w:line="480" w:lineRule="auto"/>
        <w:ind w:firstLine="420" w:firstLineChars="0"/>
        <w:rPr>
          <w:rFonts w:ascii="Times New Roman" w:hAnsi="Times New Roman" w:cs="Times New Roman" w:hint="default"/>
          <w:sz w:val="24"/>
          <w:szCs w:val="24"/>
          <w:lang w:val="en-US"/>
        </w:rPr>
      </w:pPr>
    </w:p>
    <w:sectPr>
      <w:pgSz w:w="11906" w:h="16838"/>
      <w:pgMar w:top="1440" w:right="1800" w:bottom="1440" w:left="1800" w:header="720" w:footer="720" w:gutter="0"/>
      <w:pgNumType w:fmt="decimal"/>
      <w:cols w:num="1" w:space="720"/>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0"/>
    <w:family w:val="swiss"/>
    <w:pitch w:val="default"/>
    <w:sig w:usb0="E0002EFF" w:usb1="C0007843"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Calibri">
    <w:panose1 w:val="020F0502020204030204"/>
    <w:charset w:val="86"/>
    <w:family w:val="swiss"/>
    <w:pitch w:val="default"/>
    <w:sig w:usb0="E00002FF" w:usb1="4000ACFF" w:usb2="00000001" w:usb3="00000000" w:csb0="2004019F" w:csb1="00000000"/>
  </w:font>
  <w:font w:name="o">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oc">
    <w:altName w:val="Segoe Print"/>
    <w:panose1 w:val="00000000000000000000"/>
    <w:charset w:val="00"/>
    <w:family w:val="auto"/>
    <w:pitch w:val="default"/>
    <w:sig w:usb0="00000000" w:usb1="00000000" w:usb2="00000000" w:usb3="00000000" w:csb0="00000000" w:csb1="00000000"/>
  </w:font>
  <w:font w:name="ocu">
    <w:altName w:val="Segoe Print"/>
    <w:panose1 w:val="00000000000000000000"/>
    <w:charset w:val="00"/>
    <w:family w:val="auto"/>
    <w:pitch w:val="default"/>
    <w:sig w:usb0="00000000" w:usb1="00000000" w:usb2="00000000" w:usb3="00000000" w:csb0="00000000" w:csb1="00000000"/>
  </w:font>
  <w:font w:name="ocus">
    <w:altName w:val="Segoe Print"/>
    <w:panose1 w:val="00000000000000000000"/>
    <w:charset w:val="00"/>
    <w:family w:val="auto"/>
    <w:pitch w:val="default"/>
    <w:sig w:usb0="00000000" w:usb1="00000000" w:usb2="00000000" w:usb3="00000000" w:csb0="00000000" w:csb1="00000000"/>
  </w:font>
  <w:font w:name="Malgun Gothic">
    <w:panose1 w:val="020B0503020000020004"/>
    <w:charset w:val="81"/>
    <w:family w:val="auto"/>
    <w:pitch w:val="default"/>
    <w:sig w:usb0="9000002F" w:usb1="29D77CFB" w:usb2="00000012" w:usb3="00000000" w:csb0="00080001" w:csb1="00000000"/>
  </w:font>
  <w:font w:name="Tahoma">
    <w:panose1 w:val="020B0604030504040204"/>
    <w:charset w:val="00"/>
    <w:family w:val="auto"/>
    <w:pitch w:val="default"/>
    <w:sig w:usb0="E1002EFF" w:usb1="C000605B" w:usb2="00000029" w:usb3="00000000" w:csb0="200101FF" w:csb1="2028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rPr>
        <w:rFonts w:ascii="Times New Roman" w:hAnsi="Times New Roman" w:cs="Times New Roman" w:hint="default"/>
        <w:sz w:val="24"/>
        <w:szCs w:val="24"/>
        <w:lang w:val="en-US"/>
      </w:rPr>
    </w:pPr>
    <w:r>
      <w:rPr>
        <w:sz w:val="18"/>
      </w:rPr>
      <mc:AlternateContent>
        <mc:Choice Requires="wps">
          <w:drawing>
            <wp:anchor distT="0" distB="0" distL="114300" distR="114300" simplePos="0" relativeHeight="251658240" behindDoc="0" locked="0" layoutInCell="1" allowOverlap="1">
              <wp:simplePos x="0" y="0"/>
              <wp:positionH relativeFrom="margin">
                <wp:align>right</wp:align>
              </wp:positionH>
              <wp:positionV relativeFrom="paragraph">
                <wp:posOffset>0</wp:posOffset>
              </wp:positionV>
              <wp:extent cx="1828800" cy="1828800"/>
              <wp:effectExtent l="0" t="0" r="0" b="0"/>
              <wp:wrapNone/>
              <wp:docPr id="1" name="Text Box 1"/>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a:extLst>
                        <a:ext xmlns:a="http://schemas.openxmlformats.org/drawingml/2006/main" uri="{909E8E84-426E-40DD-AFC4-6F175D3DCCD1}">
                          <a14:hiddenFill xmlns:a14="http://schemas.microsoft.com/office/drawing/2010/main">
                            <a:solidFill>
                              <a:schemeClr val="lt1"/>
                            </a:solidFill>
                          </a14:hiddenFill>
                        </a:ext>
                        <a:ext xmlns:a="http://schemas.openxmlformats.org/drawingml/2006/main"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Style w:val="Header"/>
                            <w:rPr>
                              <w:lang w:val="en-US"/>
                            </w:rPr>
                          </w:pPr>
                          <w:r>
                            <w:rPr>
                              <w:lang w:val="en-US"/>
                            </w:rPr>
                            <w:fldChar w:fldCharType="begin"/>
                          </w:r>
                          <w:r>
                            <w:rPr>
                              <w:lang w:val="en-US"/>
                            </w:rPr>
                            <w:instrText xml:space="preserve"> PAGE  \* MERGEFORMAT </w:instrText>
                          </w:r>
                          <w:r>
                            <w:rPr>
                              <w:lang w:val="en-US"/>
                            </w:rPr>
                            <w:fldChar w:fldCharType="separate"/>
                          </w:r>
                          <w:r>
                            <w:rPr>
                              <w:lang w:val="en-US"/>
                            </w:rPr>
                            <w:t>1</w:t>
                          </w:r>
                          <w:r>
                            <w:rPr>
                              <w:lang w:val="en-US"/>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_x0000_s1026" o:spid="_x0000_s2049" type="#_x0000_t202" style="width:2in;height:2in;margin-top:0;margin-left:0;mso-height-relative:page;mso-position-horizontal:right;mso-position-horizontal-relative:margin;mso-width-relative:page;mso-wrap-style:none;position:absolute;z-index:251659264" coordsize="21600,21600" filled="f" stroked="f">
              <o:lock v:ext="edit" aspectratio="f"/>
              <v:textbox style="mso-fit-shape-to-text:t" inset="0,0,0,0">
                <w:txbxContent>
                  <w:p>
                    <w:pPr>
                      <w:pStyle w:val="Header"/>
                      <w:rPr>
                        <w:lang w:val="en-US"/>
                      </w:rPr>
                    </w:pPr>
                    <w:r>
                      <w:rPr>
                        <w:lang w:val="en-US"/>
                      </w:rPr>
                      <w:fldChar w:fldCharType="begin"/>
                    </w:r>
                    <w:r>
                      <w:rPr>
                        <w:lang w:val="en-US"/>
                      </w:rPr>
                      <w:instrText xml:space="preserve"> PAGE  \* MERGEFORMAT </w:instrText>
                    </w:r>
                    <w:r>
                      <w:rPr>
                        <w:lang w:val="en-US"/>
                      </w:rPr>
                      <w:fldChar w:fldCharType="separate"/>
                    </w:r>
                    <w:r>
                      <w:rPr>
                        <w:lang w:val="en-US"/>
                      </w:rPr>
                      <w:t>1</w:t>
                    </w:r>
                    <w:r>
                      <w:rPr>
                        <w:lang w:val="en-US"/>
                      </w:rPr>
                      <w:fldChar w:fldCharType="end"/>
                    </w:r>
                  </w:p>
                </w:txbxContent>
              </v:textbox>
              <w10:wrap anchorx="margin"/>
            </v:shape>
          </w:pict>
        </mc:Fallback>
      </mc:AlternateContent>
    </w:r>
    <w:r>
      <w:rPr>
        <w:lang w:val="en-US"/>
      </w:rPr>
      <w:t xml:space="preserve">                                                                                  </w:t>
    </w:r>
    <w:r>
      <w:rPr>
        <w:rFonts w:ascii="Times New Roman" w:hAnsi="Times New Roman" w:cs="Times New Roman" w:hint="default"/>
        <w:sz w:val="24"/>
        <w:szCs w:val="24"/>
        <w:lang w:val="en-US"/>
      </w:rPr>
      <w:t xml:space="preserve">Roman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embedSystemFonts/>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2FF314B"/>
    <w:rsid w:val="079E32CD"/>
    <w:rsid w:val="0B5318F7"/>
    <w:rsid w:val="13DB7292"/>
    <w:rsid w:val="2A195353"/>
    <w:rsid w:val="2F8448F2"/>
    <w:rsid w:val="42FF314B"/>
    <w:rsid w:val="4F2D341F"/>
    <w:rsid w:val="72C11A19"/>
    <w:rsid w:val="796F28C2"/>
    <w:rsid w:val="79C93C8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lang w:val="en-US" w:eastAsia="en-US" w:bidi="ar-SA"/>
      </w:rPr>
    </w:rPrDefault>
    <w:pPrDefault>
      <w:pPr>
        <w:spacing w:after="200" w:line="276" w:lineRule="auto"/>
      </w:pPr>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rPr>
      <w:rFonts w:asciiTheme="minorHAnsi" w:eastAsiaTheme="minorEastAsia" w:hAnsiTheme="minorHAnsi" w:cstheme="minorBidi"/>
      <w:lang w:val="en-US" w:eastAsia="zh-CN" w:bidi="ar-SA"/>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szCs w:val="18"/>
    </w:rPr>
  </w:style>
  <w:style w:type="paragraph" w:styleId="Header">
    <w:name w:val="header"/>
    <w:basedOn w:val="Normal"/>
    <w:pPr>
      <w:tabs>
        <w:tab w:val="center" w:pos="4153"/>
        <w:tab w:val="right" w:pos="8306"/>
      </w:tabs>
      <w:snapToGrid w:val="0"/>
    </w:pPr>
    <w:rPr>
      <w:sz w:val="18"/>
      <w:szCs w:val="18"/>
    </w:rPr>
  </w:style>
  <w:style w:type="paragraph" w:styleId="NormalWeb">
    <w:name w:val="Normal (Web)"/>
    <w:pPr>
      <w:spacing w:before="0" w:beforeAutospacing="1" w:after="0" w:afterAutospacing="1"/>
      <w:ind w:left="0" w:right="0"/>
      <w:jc w:val="left"/>
    </w:pPr>
    <w:rPr>
      <w:kern w:val="0"/>
      <w:sz w:val="24"/>
      <w:szCs w:val="24"/>
      <w:lang w:val="en-US" w:eastAsia="zh-CN" w:bidi="ar"/>
    </w:rPr>
  </w:style>
  <w:style w:type="character" w:styleId="Emphasis">
    <w:name w:val="Emphasis"/>
    <w:basedOn w:val="DefaultParagraphFont"/>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Muthomi</dc:creator>
  <cp:lastModifiedBy>Muthomi</cp:lastModifiedBy>
  <cp:revision>1</cp:revision>
  <dcterms:created xsi:type="dcterms:W3CDTF">2018-11-26T09:14:00Z</dcterms:created>
  <dcterms:modified xsi:type="dcterms:W3CDTF">2018-11-26T11:38:14Z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2057-10.2.0.7516</vt:lpwstr>
  </property>
</Properties>
</file>